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C42062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C42062" w:rsidRPr="00C42062">
        <w:rPr>
          <w:rStyle w:val="FontStyle40"/>
        </w:rPr>
        <w:t xml:space="preserve">  </w:t>
      </w:r>
      <w:r w:rsidR="00C42062">
        <w:rPr>
          <w:rStyle w:val="FontStyle40"/>
        </w:rPr>
        <w:t xml:space="preserve"> за март 2021г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C39B8"/>
    <w:rsid w:val="002F1885"/>
    <w:rsid w:val="002F5C18"/>
    <w:rsid w:val="003A1362"/>
    <w:rsid w:val="003B2C9D"/>
    <w:rsid w:val="00441275"/>
    <w:rsid w:val="004857F8"/>
    <w:rsid w:val="00506630"/>
    <w:rsid w:val="00531383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42062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1735</Words>
  <Characters>8863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2021-03-19T11:57:00Z</dcterms:modified>
</cp:coreProperties>
</file>